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2C" w:rsidRPr="00A8332C" w:rsidRDefault="00A8332C" w:rsidP="00A8332C">
      <w:pPr>
        <w:shd w:val="clear" w:color="auto" w:fill="FFFFFF"/>
        <w:adjustRightInd/>
        <w:snapToGrid/>
        <w:spacing w:after="210"/>
        <w:outlineLvl w:val="0"/>
        <w:rPr>
          <w:rFonts w:ascii="方正小标宋简体" w:eastAsia="方正小标宋简体" w:hAnsi="Microsoft YaHei UI" w:cs="宋体" w:hint="eastAsia"/>
          <w:color w:val="222222"/>
          <w:spacing w:val="8"/>
          <w:kern w:val="36"/>
          <w:sz w:val="33"/>
          <w:szCs w:val="33"/>
        </w:rPr>
      </w:pPr>
      <w:r w:rsidRPr="00A8332C">
        <w:rPr>
          <w:rFonts w:ascii="方正小标宋简体" w:eastAsia="方正小标宋简体" w:hAnsi="Microsoft YaHei UI" w:cs="宋体" w:hint="eastAsia"/>
          <w:color w:val="222222"/>
          <w:spacing w:val="8"/>
          <w:kern w:val="36"/>
          <w:sz w:val="33"/>
          <w:szCs w:val="33"/>
        </w:rPr>
        <w:t>最高检全国妇联这次专项活动，专门针对困难妇女群体！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56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>记者今天从最高人民检察院获悉，最高人民检察院与中华全国妇女联合会日前联合下发通知，决定今年3月至年底共同开展“关注困难妇女群体，加强专项司法救助”专项活动，围绕“凡是符合救助条件的困难妇女，均应当及时提供救助帮扶”这一目标，着力优化妇女生活和发展的社会环境。</w:t>
      </w:r>
      <w:r w:rsidRPr="00A8332C">
        <w:rPr>
          <w:rFonts w:ascii="Microsoft YaHei UI" w:eastAsia="仿宋_GB2312" w:hAnsi="Microsoft YaHei UI" w:cs="宋体" w:hint="eastAsia"/>
          <w:color w:val="222222"/>
          <w:spacing w:val="8"/>
          <w:sz w:val="32"/>
          <w:szCs w:val="32"/>
        </w:rPr>
        <w:t> </w:t>
      </w: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 xml:space="preserve"> </w:t>
      </w:r>
      <w:r w:rsidRPr="00A8332C">
        <w:rPr>
          <w:rFonts w:ascii="Microsoft YaHei UI" w:eastAsia="仿宋_GB2312" w:hAnsi="Microsoft YaHei UI" w:cs="宋体" w:hint="eastAsia"/>
          <w:color w:val="222222"/>
          <w:spacing w:val="8"/>
          <w:sz w:val="32"/>
          <w:szCs w:val="32"/>
        </w:rPr>
        <w:t>  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仿宋_GB2312" w:hAnsi="Verdana" w:cs="宋体" w:hint="eastAsia"/>
          <w:color w:val="3E3E3E"/>
          <w:sz w:val="32"/>
          <w:szCs w:val="32"/>
          <w:shd w:val="clear" w:color="auto" w:fill="FFFFFF"/>
        </w:rPr>
        <w:t>通知指出，五类进入检察办案环节、符合救助条件的困难妇女，检察机关应当作为重点对象，协同妇联组织加大救助帮扶力度：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MS Gothic" w:hAnsi="MS Gothic" w:cs="MS Gothic" w:hint="eastAsia"/>
          <w:color w:val="D82821"/>
          <w:sz w:val="32"/>
          <w:szCs w:val="32"/>
          <w:shd w:val="clear" w:color="auto" w:fill="FFFFFF"/>
        </w:rPr>
        <w:t>➤</w:t>
      </w:r>
      <w:r w:rsidRPr="00A8332C">
        <w:rPr>
          <w:rFonts w:ascii="Verdana" w:eastAsia="仿宋_GB2312" w:hAnsi="Verdana" w:cs="宋体" w:hint="eastAsia"/>
          <w:color w:val="D82821"/>
          <w:sz w:val="32"/>
          <w:szCs w:val="32"/>
          <w:shd w:val="clear" w:color="auto" w:fill="FFFFFF"/>
        </w:rPr>
        <w:t> </w:t>
      </w:r>
      <w:r w:rsidRPr="00A8332C">
        <w:rPr>
          <w:rFonts w:ascii="仿宋_GB2312" w:eastAsia="仿宋_GB2312" w:hAnsi="Microsoft YaHei UI" w:cs="宋体" w:hint="eastAsia"/>
          <w:color w:val="D82821"/>
          <w:sz w:val="32"/>
          <w:szCs w:val="32"/>
        </w:rPr>
        <w:t>一是</w:t>
      </w:r>
      <w:r w:rsidRPr="00A8332C">
        <w:rPr>
          <w:rFonts w:ascii="仿宋_GB2312" w:eastAsia="仿宋_GB2312" w:hAnsi="Microsoft YaHei UI" w:cs="宋体" w:hint="eastAsia"/>
          <w:color w:val="3E3E3E"/>
          <w:sz w:val="32"/>
          <w:szCs w:val="32"/>
        </w:rPr>
        <w:t>属于防止返贫监测对象的农村妇女；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MS Gothic" w:hAnsi="MS Gothic" w:cs="MS Gothic" w:hint="eastAsia"/>
          <w:color w:val="D82821"/>
          <w:sz w:val="32"/>
          <w:szCs w:val="32"/>
          <w:shd w:val="clear" w:color="auto" w:fill="FFFFFF"/>
        </w:rPr>
        <w:t>➤</w:t>
      </w:r>
      <w:r w:rsidRPr="00A8332C">
        <w:rPr>
          <w:rFonts w:ascii="Verdana" w:eastAsia="仿宋_GB2312" w:hAnsi="Verdana" w:cs="宋体" w:hint="eastAsia"/>
          <w:color w:val="D82821"/>
          <w:sz w:val="32"/>
          <w:szCs w:val="32"/>
          <w:shd w:val="clear" w:color="auto" w:fill="FFFFFF"/>
        </w:rPr>
        <w:t> </w:t>
      </w:r>
      <w:r w:rsidRPr="00A8332C">
        <w:rPr>
          <w:rFonts w:ascii="仿宋_GB2312" w:eastAsia="仿宋_GB2312" w:hAnsi="Microsoft YaHei UI" w:cs="宋体" w:hint="eastAsia"/>
          <w:color w:val="D82821"/>
          <w:sz w:val="32"/>
          <w:szCs w:val="32"/>
        </w:rPr>
        <w:t>二是</w:t>
      </w:r>
      <w:r w:rsidRPr="00A8332C">
        <w:rPr>
          <w:rFonts w:ascii="仿宋_GB2312" w:eastAsia="仿宋_GB2312" w:hAnsi="Microsoft YaHei UI" w:cs="宋体" w:hint="eastAsia"/>
          <w:color w:val="3E3E3E"/>
          <w:sz w:val="32"/>
          <w:szCs w:val="32"/>
        </w:rPr>
        <w:t>遭受家庭暴力、性侵害、拐卖等违法犯罪行为侵害的妇女；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MS Gothic" w:hAnsi="MS Gothic" w:cs="MS Gothic" w:hint="eastAsia"/>
          <w:color w:val="D82821"/>
          <w:sz w:val="32"/>
          <w:szCs w:val="32"/>
          <w:shd w:val="clear" w:color="auto" w:fill="FFFFFF"/>
        </w:rPr>
        <w:t>➤</w:t>
      </w:r>
      <w:r w:rsidRPr="00A8332C">
        <w:rPr>
          <w:rFonts w:ascii="Verdana" w:eastAsia="仿宋_GB2312" w:hAnsi="Verdana" w:cs="宋体" w:hint="eastAsia"/>
          <w:color w:val="D82821"/>
          <w:sz w:val="32"/>
          <w:szCs w:val="32"/>
          <w:shd w:val="clear" w:color="auto" w:fill="FFFFFF"/>
        </w:rPr>
        <w:t> </w:t>
      </w:r>
      <w:r w:rsidRPr="00A8332C">
        <w:rPr>
          <w:rFonts w:ascii="仿宋_GB2312" w:eastAsia="仿宋_GB2312" w:hAnsi="Microsoft YaHei UI" w:cs="宋体" w:hint="eastAsia"/>
          <w:color w:val="D82821"/>
          <w:sz w:val="32"/>
          <w:szCs w:val="32"/>
        </w:rPr>
        <w:t>三是</w:t>
      </w:r>
      <w:r w:rsidRPr="00A8332C">
        <w:rPr>
          <w:rFonts w:ascii="仿宋_GB2312" w:eastAsia="仿宋_GB2312" w:hAnsi="Microsoft YaHei UI" w:cs="宋体" w:hint="eastAsia"/>
          <w:color w:val="3E3E3E"/>
          <w:sz w:val="32"/>
          <w:szCs w:val="32"/>
        </w:rPr>
        <w:t>家庭主要劳动力受到违法犯罪侵害致死或者丧失劳动能力，承担养育未成年子女、赡养老人义务的妇女；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MS Gothic" w:hAnsi="MS Gothic" w:cs="MS Gothic" w:hint="eastAsia"/>
          <w:color w:val="D82821"/>
          <w:sz w:val="32"/>
          <w:szCs w:val="32"/>
          <w:shd w:val="clear" w:color="auto" w:fill="FFFFFF"/>
        </w:rPr>
        <w:t>➤</w:t>
      </w:r>
      <w:r w:rsidRPr="00A8332C">
        <w:rPr>
          <w:rFonts w:ascii="Verdana" w:eastAsia="仿宋_GB2312" w:hAnsi="Verdana" w:cs="宋体" w:hint="eastAsia"/>
          <w:color w:val="D82821"/>
          <w:sz w:val="32"/>
          <w:szCs w:val="32"/>
          <w:shd w:val="clear" w:color="auto" w:fill="FFFFFF"/>
        </w:rPr>
        <w:t> </w:t>
      </w:r>
      <w:r w:rsidRPr="00A8332C">
        <w:rPr>
          <w:rFonts w:ascii="仿宋_GB2312" w:eastAsia="仿宋_GB2312" w:hAnsi="Microsoft YaHei UI" w:cs="宋体" w:hint="eastAsia"/>
          <w:color w:val="D82821"/>
          <w:sz w:val="32"/>
          <w:szCs w:val="32"/>
        </w:rPr>
        <w:t>四是</w:t>
      </w:r>
      <w:r w:rsidRPr="00A8332C">
        <w:rPr>
          <w:rFonts w:ascii="仿宋_GB2312" w:eastAsia="仿宋_GB2312" w:hAnsi="Microsoft YaHei UI" w:cs="宋体" w:hint="eastAsia"/>
          <w:color w:val="3E3E3E"/>
          <w:sz w:val="32"/>
          <w:szCs w:val="32"/>
        </w:rPr>
        <w:t>身患重病或者残疾的妇女；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40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MS Gothic" w:hAnsi="MS Gothic" w:cs="MS Gothic" w:hint="eastAsia"/>
          <w:color w:val="D82821"/>
          <w:sz w:val="32"/>
          <w:szCs w:val="32"/>
          <w:shd w:val="clear" w:color="auto" w:fill="FFFFFF"/>
        </w:rPr>
        <w:t>➤</w:t>
      </w:r>
      <w:r w:rsidRPr="00A8332C">
        <w:rPr>
          <w:rFonts w:ascii="Verdana" w:eastAsia="仿宋_GB2312" w:hAnsi="Verdana" w:cs="宋体" w:hint="eastAsia"/>
          <w:color w:val="D82821"/>
          <w:sz w:val="32"/>
          <w:szCs w:val="32"/>
          <w:shd w:val="clear" w:color="auto" w:fill="FFFFFF"/>
        </w:rPr>
        <w:t> </w:t>
      </w:r>
      <w:r w:rsidRPr="00A8332C">
        <w:rPr>
          <w:rFonts w:ascii="仿宋_GB2312" w:eastAsia="仿宋_GB2312" w:hAnsi="Microsoft YaHei UI" w:cs="宋体" w:hint="eastAsia"/>
          <w:color w:val="D82821"/>
          <w:sz w:val="32"/>
          <w:szCs w:val="32"/>
        </w:rPr>
        <w:t>五是</w:t>
      </w:r>
      <w:r w:rsidRPr="00A8332C">
        <w:rPr>
          <w:rFonts w:ascii="仿宋_GB2312" w:eastAsia="仿宋_GB2312" w:hAnsi="Microsoft YaHei UI" w:cs="宋体" w:hint="eastAsia"/>
          <w:color w:val="3E3E3E"/>
          <w:sz w:val="32"/>
          <w:szCs w:val="32"/>
        </w:rPr>
        <w:t>赡养义务人没有赡养能力或者事实无人赡养的老年妇女。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56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>按照通知，对于因就业性别歧视、职场性骚扰等民事侵权案件导致生活困难，通过法律途径难以解决，以及因遭受家庭暴力起诉离婚，生活确有困难，根据实际情况认</w:t>
      </w: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lastRenderedPageBreak/>
        <w:t>为需要救助的妇女，案件办理地检察机关也可以协同妇联组织开展帮扶救助工作。</w:t>
      </w:r>
    </w:p>
    <w:p w:rsidR="00A8332C" w:rsidRPr="00A8332C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56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>通知要求，专项活动开展过程中，检察机关办案部门要切实增强救助意识，全面梳理救助线索，对符合司法救助条件的困难妇女，应当立即启动救助工作程序，指定检察人员优先办理，积极协助妇女提交书面救助申请、生活困难情况的证明材料。被救助的妇女养育未成年子女的，应当一并开展司法救助工作。对妇联组织移送的救助线索，检察机关在办结后应当向妇联组织反馈案件办理情况。开展司法救助，要尊重困难妇女的人格尊严、名誉权和隐私权等合法权利，避免造成“二次伤害”。</w:t>
      </w:r>
    </w:p>
    <w:p w:rsidR="004358AB" w:rsidRPr="009942E0" w:rsidRDefault="00A8332C" w:rsidP="009942E0">
      <w:pPr>
        <w:shd w:val="clear" w:color="auto" w:fill="FFFFFF"/>
        <w:adjustRightInd/>
        <w:snapToGrid/>
        <w:spacing w:after="0" w:line="620" w:lineRule="exact"/>
        <w:ind w:firstLineChars="200" w:firstLine="656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A8332C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>通知强调，检察机关和妇联组织应当树立特殊保护意识，对实施司法救助后仍然面临生活困难的妇女，针对具体情况，协调有关单位，借助专业力量，因人施策进行帮扶。建立每月会商机制，实行救助案件信息及时共享，解决突出问题，并研究出台本地区相关工作规范性文件，进一步强化司法救助案件线索移送、联合回访等工作，以自觉依法能动履职更好保障妇女合法权益。</w:t>
      </w:r>
    </w:p>
    <w:p w:rsidR="00A8332C" w:rsidRDefault="00A8332C" w:rsidP="009942E0">
      <w:pPr>
        <w:spacing w:after="0" w:line="620" w:lineRule="exact"/>
        <w:ind w:firstLineChars="200" w:firstLine="656"/>
        <w:jc w:val="both"/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</w:pPr>
    </w:p>
    <w:p w:rsidR="009942E0" w:rsidRPr="009942E0" w:rsidRDefault="009942E0" w:rsidP="009942E0">
      <w:pPr>
        <w:spacing w:after="0" w:line="620" w:lineRule="exact"/>
        <w:ind w:firstLineChars="200" w:firstLine="656"/>
        <w:jc w:val="both"/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</w:pPr>
    </w:p>
    <w:p w:rsidR="00A8332C" w:rsidRPr="009942E0" w:rsidRDefault="00A8332C" w:rsidP="009942E0">
      <w:pPr>
        <w:spacing w:after="0" w:line="620" w:lineRule="exact"/>
        <w:ind w:firstLineChars="200" w:firstLine="656"/>
        <w:jc w:val="both"/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</w:pPr>
      <w:r w:rsidRPr="009942E0">
        <w:rPr>
          <w:rFonts w:ascii="仿宋_GB2312" w:eastAsia="仿宋_GB2312" w:hAnsi="Microsoft YaHei UI" w:cs="宋体" w:hint="eastAsia"/>
          <w:color w:val="222222"/>
          <w:spacing w:val="8"/>
          <w:sz w:val="32"/>
          <w:szCs w:val="32"/>
        </w:rPr>
        <w:t>来源于：最高人民检察院微信公众号</w:t>
      </w:r>
    </w:p>
    <w:sectPr w:rsidR="00A8332C" w:rsidRPr="009942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46" w:rsidRDefault="00752646" w:rsidP="00A8332C">
      <w:pPr>
        <w:spacing w:after="0"/>
      </w:pPr>
      <w:r>
        <w:separator/>
      </w:r>
    </w:p>
  </w:endnote>
  <w:endnote w:type="continuationSeparator" w:id="0">
    <w:p w:rsidR="00752646" w:rsidRDefault="00752646" w:rsidP="00A833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46" w:rsidRDefault="00752646" w:rsidP="00A8332C">
      <w:pPr>
        <w:spacing w:after="0"/>
      </w:pPr>
      <w:r>
        <w:separator/>
      </w:r>
    </w:p>
  </w:footnote>
  <w:footnote w:type="continuationSeparator" w:id="0">
    <w:p w:rsidR="00752646" w:rsidRDefault="00752646" w:rsidP="00A833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2646"/>
    <w:rsid w:val="008B7726"/>
    <w:rsid w:val="009942E0"/>
    <w:rsid w:val="00995ED4"/>
    <w:rsid w:val="00A833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8332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3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3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3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32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33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8332C"/>
  </w:style>
  <w:style w:type="character" w:styleId="a5">
    <w:name w:val="Hyperlink"/>
    <w:basedOn w:val="a0"/>
    <w:uiPriority w:val="99"/>
    <w:semiHidden/>
    <w:unhideWhenUsed/>
    <w:rsid w:val="00A83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332C"/>
  </w:style>
  <w:style w:type="character" w:styleId="a6">
    <w:name w:val="Emphasis"/>
    <w:basedOn w:val="a0"/>
    <w:uiPriority w:val="20"/>
    <w:qFormat/>
    <w:rsid w:val="00A8332C"/>
    <w:rPr>
      <w:i/>
      <w:iCs/>
    </w:rPr>
  </w:style>
  <w:style w:type="paragraph" w:styleId="a7">
    <w:name w:val="Normal (Web)"/>
    <w:basedOn w:val="a"/>
    <w:uiPriority w:val="99"/>
    <w:semiHidden/>
    <w:unhideWhenUsed/>
    <w:rsid w:val="00A833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99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2022-07-20T10:00:00Z</dcterms:modified>
</cp:coreProperties>
</file>